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6BD1A" w14:textId="77777777" w:rsidR="00EC2BB3" w:rsidRDefault="00EC2BB3" w:rsidP="00EC2BB3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jc w:val="right"/>
        <w:rPr>
          <w:b/>
          <w:sz w:val="28"/>
          <w:lang w:val="en-GB"/>
        </w:rPr>
      </w:pPr>
      <w:r>
        <w:rPr>
          <w:b/>
          <w:sz w:val="28"/>
          <w:lang w:val="en-GB"/>
        </w:rPr>
        <w:t>Annex II</w:t>
      </w:r>
    </w:p>
    <w:p w14:paraId="6E1C7017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right"/>
        <w:rPr>
          <w:b/>
          <w:sz w:val="28"/>
          <w:lang w:val="en-GB"/>
        </w:rPr>
      </w:pPr>
      <w:bookmarkStart w:id="0" w:name="_GoBack"/>
      <w:bookmarkEnd w:id="0"/>
    </w:p>
    <w:p w14:paraId="54052029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center"/>
        <w:rPr>
          <w:sz w:val="28"/>
          <w:lang w:val="en-GB"/>
        </w:rPr>
      </w:pPr>
      <w:r>
        <w:rPr>
          <w:b/>
          <w:sz w:val="28"/>
          <w:lang w:val="en-GB"/>
        </w:rPr>
        <w:t>The Functions of the Committees of Council</w:t>
      </w:r>
    </w:p>
    <w:p w14:paraId="63AF9DD5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center"/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1A16" w:rsidRPr="0041299D" w14:paraId="79FE72D6" w14:textId="77777777" w:rsidTr="00B66F2D">
        <w:trPr>
          <w:jc w:val="center"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46E585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right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EXECUTIVE</w:t>
            </w:r>
          </w:p>
        </w:tc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E003CC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both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23 MEMBERS</w:t>
            </w:r>
          </w:p>
        </w:tc>
      </w:tr>
      <w:tr w:rsidR="008F1A16" w:rsidRPr="0041299D" w14:paraId="21895AD0" w14:textId="77777777" w:rsidTr="00B66F2D">
        <w:trPr>
          <w:jc w:val="center"/>
        </w:trPr>
        <w:tc>
          <w:tcPr>
            <w:tcW w:w="88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871C1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execution of policy on behalf of Council, subject to report to the Council;</w:t>
            </w:r>
          </w:p>
          <w:p w14:paraId="5A80D63F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financial and administrative affairs of the Institute, including possible financial and administrative implications of the decisions of other committees;</w:t>
            </w:r>
          </w:p>
          <w:p w14:paraId="1BA826A0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management of planned expenditure and the overview of all spending decisions of the Institute, its committees and its local and self-governing associations;</w:t>
            </w:r>
          </w:p>
          <w:p w14:paraId="1CDE85A5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 xml:space="preserve">the responsibility for staffing, including the </w:t>
            </w:r>
            <w:proofErr w:type="spellStart"/>
            <w:r w:rsidRPr="0041299D">
              <w:rPr>
                <w:lang w:val="en-GB"/>
              </w:rPr>
              <w:t>leeting</w:t>
            </w:r>
            <w:proofErr w:type="spellEnd"/>
            <w:r w:rsidRPr="0041299D">
              <w:rPr>
                <w:lang w:val="en-GB"/>
              </w:rPr>
              <w:t xml:space="preserve"> and appointment of all officers and officials up to and including Assistant Secretary;</w:t>
            </w:r>
          </w:p>
          <w:p w14:paraId="1FB9C34A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Constitution of the Institute and the formulation of proposals for change to the national Constitution and to local and self-governing association constitutions;</w:t>
            </w:r>
          </w:p>
          <w:p w14:paraId="3485B823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management of all properties held by the Institute;</w:t>
            </w:r>
          </w:p>
          <w:p w14:paraId="08F5F0C8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co-ordination of Institute activities at national and local level and the maintenance of the strategic direction of the Institute as established by the Council;</w:t>
            </w:r>
          </w:p>
          <w:p w14:paraId="5E22E8DE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training of Institute members and the recruitment and retention of members;</w:t>
            </w:r>
          </w:p>
          <w:p w14:paraId="7C4C8009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conduct of industrial action on behalf of and in accordance with the framework established by the Council;</w:t>
            </w:r>
          </w:p>
          <w:p w14:paraId="1DD8CEFC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implementation of the political, trade union and international work of the Institute as established by the Council.</w:t>
            </w:r>
          </w:p>
        </w:tc>
      </w:tr>
    </w:tbl>
    <w:p w14:paraId="2D6D990F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p w14:paraId="60959077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1A16" w:rsidRPr="0041299D" w14:paraId="279CC259" w14:textId="77777777" w:rsidTr="00B66F2D">
        <w:trPr>
          <w:jc w:val="center"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D41206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right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EDUCATION</w:t>
            </w:r>
          </w:p>
        </w:tc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6C4667E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both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16 MEMBERS</w:t>
            </w:r>
          </w:p>
        </w:tc>
      </w:tr>
      <w:tr w:rsidR="008F1A16" w14:paraId="24888D6E" w14:textId="77777777" w:rsidTr="00B66F2D">
        <w:trPr>
          <w:jc w:val="center"/>
        </w:trPr>
        <w:tc>
          <w:tcPr>
            <w:tcW w:w="88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88A40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development of the educational policies of the Institute and the pursuit of these policies in all types of educational establishment and in all parts of Scotland;</w:t>
            </w:r>
          </w:p>
          <w:p w14:paraId="653CA2BF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determination of professionalism and professional standards;</w:t>
            </w:r>
          </w:p>
          <w:p w14:paraId="623C6FFF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definition of quality in education – including the prerequisites to quality, such as educational structure, management, resources and training;</w:t>
            </w:r>
          </w:p>
          <w:p w14:paraId="43A17815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response to educational initiatives from government, local authorities and individual educational establishments.</w:t>
            </w:r>
          </w:p>
        </w:tc>
      </w:tr>
    </w:tbl>
    <w:p w14:paraId="25A67999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p w14:paraId="7E93A4BD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1A16" w:rsidRPr="0041299D" w14:paraId="051B0962" w14:textId="77777777" w:rsidTr="00B66F2D">
        <w:trPr>
          <w:jc w:val="center"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23F5C7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right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EMPLOYMENT RELATIONS</w:t>
            </w:r>
          </w:p>
        </w:tc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98845F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both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8 MEMBERS</w:t>
            </w:r>
          </w:p>
        </w:tc>
      </w:tr>
      <w:tr w:rsidR="008F1A16" w14:paraId="7A95B3C9" w14:textId="77777777" w:rsidTr="00B66F2D">
        <w:trPr>
          <w:jc w:val="center"/>
        </w:trPr>
        <w:tc>
          <w:tcPr>
            <w:tcW w:w="88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39D82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employment matters affecting members;</w:t>
            </w:r>
          </w:p>
          <w:p w14:paraId="31FE8B2C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health &amp; safety matters affecting members;</w:t>
            </w:r>
          </w:p>
          <w:p w14:paraId="0D2DF612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legal affairs affecting members;</w:t>
            </w:r>
          </w:p>
          <w:p w14:paraId="3745D746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benevolent work of the Institute;</w:t>
            </w:r>
          </w:p>
          <w:p w14:paraId="0D605DE4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the support of members on legal, grievance or disciplinary matters, whether through the courts or local or national procedures;</w:t>
            </w:r>
          </w:p>
          <w:p w14:paraId="44FEB5EA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appropriate casework-related policy related to the above.</w:t>
            </w:r>
          </w:p>
        </w:tc>
      </w:tr>
    </w:tbl>
    <w:p w14:paraId="5C1F27CB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p w14:paraId="324687AA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1A16" w:rsidRPr="0041299D" w14:paraId="24F51CFC" w14:textId="77777777" w:rsidTr="00B66F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CF5455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right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EQUALITY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316F8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both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16 MEMBERS</w:t>
            </w:r>
          </w:p>
        </w:tc>
      </w:tr>
      <w:tr w:rsidR="008F1A16" w14:paraId="5A3CD70E" w14:textId="77777777" w:rsidTr="00B66F2D">
        <w:trPr>
          <w:jc w:val="center"/>
        </w:trPr>
        <w:tc>
          <w:tcPr>
            <w:tcW w:w="88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5B0CF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promote equality of opportunity of all teachers and lecturers in Scotland regardless of race, gender, sexuality and disability and to make appropriate recommendations on equality issues to the Council.</w:t>
            </w:r>
          </w:p>
        </w:tc>
      </w:tr>
    </w:tbl>
    <w:p w14:paraId="6B131677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p w14:paraId="5651C006" w14:textId="77777777" w:rsidR="008F1A16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1A16" w:rsidRPr="0041299D" w14:paraId="153CF041" w14:textId="77777777" w:rsidTr="00B66F2D">
        <w:trPr>
          <w:jc w:val="center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409C7F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right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SALARIES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06058" w14:textId="77777777" w:rsidR="008F1A16" w:rsidRPr="0041299D" w:rsidRDefault="008F1A16" w:rsidP="00B66F2D">
            <w:pPr>
              <w:tabs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jc w:val="both"/>
              <w:rPr>
                <w:b/>
                <w:lang w:val="en-GB"/>
              </w:rPr>
            </w:pPr>
            <w:r w:rsidRPr="0041299D">
              <w:rPr>
                <w:b/>
                <w:lang w:val="en-GB"/>
              </w:rPr>
              <w:t>16 MEMBERS</w:t>
            </w:r>
          </w:p>
        </w:tc>
      </w:tr>
      <w:tr w:rsidR="008F1A16" w14:paraId="02419ABF" w14:textId="77777777" w:rsidTr="00B66F2D">
        <w:trPr>
          <w:jc w:val="center"/>
        </w:trPr>
        <w:tc>
          <w:tcPr>
            <w:tcW w:w="88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9B0BF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to seek to maintain and enhance the salaries and conditions of service of teachers in Scotland represented through the Scottish Negotiating Committee for Teachers (SNCT);</w:t>
            </w:r>
          </w:p>
          <w:p w14:paraId="035E8601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to act as the negotiating committee of the Institute for those matters under the aegis of the SNCT;</w:t>
            </w:r>
          </w:p>
          <w:p w14:paraId="5C477614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to provide the Institute representation on the Teachers’ Panel of the SNCT and on the SNCT;</w:t>
            </w:r>
          </w:p>
          <w:p w14:paraId="3C89D36E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 xml:space="preserve">the direction of local Institute negotiating bodies </w:t>
            </w:r>
            <w:proofErr w:type="spellStart"/>
            <w:r w:rsidRPr="0041299D">
              <w:rPr>
                <w:lang w:val="en-GB"/>
              </w:rPr>
              <w:t>outwith</w:t>
            </w:r>
            <w:proofErr w:type="spellEnd"/>
            <w:r w:rsidRPr="0041299D">
              <w:rPr>
                <w:lang w:val="en-GB"/>
              </w:rPr>
              <w:t xml:space="preserve"> further and higher education;</w:t>
            </w:r>
          </w:p>
          <w:p w14:paraId="0E80E799" w14:textId="77777777" w:rsidR="008F1A16" w:rsidRPr="0041299D" w:rsidRDefault="008F1A16" w:rsidP="00B66F2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  <w:tab w:val="left" w:pos="567"/>
                <w:tab w:val="left" w:pos="900"/>
                <w:tab w:val="left" w:pos="1134"/>
                <w:tab w:val="left" w:pos="1701"/>
                <w:tab w:val="left" w:pos="2268"/>
              </w:tabs>
              <w:spacing w:before="60" w:after="20"/>
              <w:ind w:left="180" w:hanging="180"/>
              <w:rPr>
                <w:lang w:val="en-GB"/>
              </w:rPr>
            </w:pPr>
            <w:r w:rsidRPr="0041299D">
              <w:rPr>
                <w:lang w:val="en-GB"/>
              </w:rPr>
              <w:t>to deal with superannuation matters across all members of the Institute.</w:t>
            </w:r>
          </w:p>
        </w:tc>
      </w:tr>
    </w:tbl>
    <w:p w14:paraId="29DA53C6" w14:textId="77777777" w:rsidR="008F1A16" w:rsidRPr="006169CF" w:rsidRDefault="008F1A16" w:rsidP="008F1A16">
      <w:pPr>
        <w:tabs>
          <w:tab w:val="left" w:pos="567"/>
          <w:tab w:val="left" w:pos="900"/>
          <w:tab w:val="left" w:pos="1134"/>
          <w:tab w:val="left" w:pos="1701"/>
          <w:tab w:val="left" w:pos="2268"/>
        </w:tabs>
        <w:ind w:left="360"/>
        <w:jc w:val="both"/>
        <w:rPr>
          <w:lang w:val="en-GB"/>
        </w:rPr>
      </w:pPr>
    </w:p>
    <w:p w14:paraId="37CCAA39" w14:textId="77777777" w:rsidR="0079772D" w:rsidRDefault="0079772D"/>
    <w:sectPr w:rsidR="0079772D" w:rsidSect="004179E0">
      <w:pgSz w:w="12240" w:h="15840" w:code="1"/>
      <w:pgMar w:top="1134" w:right="1797" w:bottom="1134" w:left="1797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1093"/>
    <w:multiLevelType w:val="hybridMultilevel"/>
    <w:tmpl w:val="D3282A34"/>
    <w:lvl w:ilvl="0" w:tplc="D42C3BF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16"/>
    <w:rsid w:val="002434D2"/>
    <w:rsid w:val="004179E0"/>
    <w:rsid w:val="00502AAE"/>
    <w:rsid w:val="005C01AD"/>
    <w:rsid w:val="0075311B"/>
    <w:rsid w:val="0079772D"/>
    <w:rsid w:val="00853975"/>
    <w:rsid w:val="00896BFC"/>
    <w:rsid w:val="008F1A16"/>
    <w:rsid w:val="009E0110"/>
    <w:rsid w:val="00AD3C98"/>
    <w:rsid w:val="00D6482C"/>
    <w:rsid w:val="00D712F6"/>
    <w:rsid w:val="00DF3EEF"/>
    <w:rsid w:val="00EC2BB3"/>
    <w:rsid w:val="00ED5051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90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E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Cook</dc:creator>
  <cp:lastModifiedBy>Presentation1</cp:lastModifiedBy>
  <cp:revision>7</cp:revision>
  <cp:lastPrinted>2018-07-23T10:04:00Z</cp:lastPrinted>
  <dcterms:created xsi:type="dcterms:W3CDTF">2019-07-09T13:06:00Z</dcterms:created>
  <dcterms:modified xsi:type="dcterms:W3CDTF">2020-09-09T15:04:00Z</dcterms:modified>
</cp:coreProperties>
</file>